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48"/>
          <w:szCs w:val="4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  <w:lang w:val="en-US"/>
        </w:rPr>
        <w:t>171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9264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4"/>
        <w:widowControl/>
        <w:pBdr>
          <w:bottom w:val="none" w:color="auto" w:sz="0" w:space="0"/>
        </w:pBdr>
        <w:adjustRightInd w:val="0"/>
        <w:snapToGrid w:val="0"/>
        <w:spacing w:afterLines="0" w:line="240" w:lineRule="auto"/>
        <w:jc w:val="center"/>
        <w:rPr>
          <w:rFonts w:hint="eastAsia" w:ascii="方正小标宋简体" w:hAnsi="方正小标宋简体" w:eastAsia="方正小标宋简体"/>
          <w:kern w:val="0"/>
          <w:sz w:val="44"/>
          <w:highlight w:val="none"/>
          <w:lang w:val="en-US" w:eastAsia="zh-CN"/>
        </w:rPr>
      </w:pPr>
      <w:bookmarkStart w:id="1" w:name="_GoBack"/>
      <w:bookmarkStart w:id="0" w:name="quanwen"/>
      <w:r>
        <w:rPr>
          <w:rFonts w:hint="eastAsia" w:ascii="方正小标宋简体" w:hAnsi="方正小标宋简体" w:eastAsia="方正小标宋简体"/>
          <w:kern w:val="0"/>
          <w:sz w:val="44"/>
          <w:highlight w:val="none"/>
        </w:rPr>
        <w:t>关</w:t>
      </w:r>
      <w:r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  <w:highlight w:val="none"/>
        </w:rPr>
        <w:t>于</w:t>
      </w:r>
      <w:r>
        <w:rPr>
          <w:rFonts w:hint="eastAsia" w:ascii="方正小标宋简体" w:hAnsi="方正小标宋简体" w:eastAsia="方正小标宋简体"/>
          <w:kern w:val="0"/>
          <w:sz w:val="44"/>
          <w:highlight w:val="none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highlight w:val="none"/>
          <w:lang w:eastAsia="zh-CN"/>
        </w:rPr>
        <w:t>广州华立科技股份</w:t>
      </w:r>
      <w:r>
        <w:rPr>
          <w:rFonts w:hint="eastAsia" w:ascii="方正小标宋简体" w:hAnsi="方正小标宋简体" w:eastAsia="方正小标宋简体"/>
          <w:kern w:val="0"/>
          <w:sz w:val="44"/>
          <w:highlight w:val="none"/>
          <w:lang w:val="en-US" w:eastAsia="zh-CN"/>
        </w:rPr>
        <w:t>有限公司、</w:t>
      </w:r>
    </w:p>
    <w:p>
      <w:pPr>
        <w:pStyle w:val="4"/>
        <w:widowControl/>
        <w:pBdr>
          <w:bottom w:val="none" w:color="auto" w:sz="0" w:space="0"/>
        </w:pBdr>
        <w:adjustRightInd w:val="0"/>
        <w:snapToGrid w:val="0"/>
        <w:spacing w:afterLines="0" w:line="240" w:lineRule="auto"/>
        <w:jc w:val="center"/>
        <w:rPr>
          <w:rFonts w:hint="eastAsia" w:ascii="方正小标宋简体" w:hAnsi="方正小标宋简体" w:eastAsia="方正小标宋简体"/>
          <w:kern w:val="0"/>
          <w:sz w:val="44"/>
          <w:highlight w:val="none"/>
        </w:rPr>
      </w:pPr>
      <w:r>
        <w:rPr>
          <w:rFonts w:hint="eastAsia" w:ascii="方正小标宋简体" w:hAnsi="方正小标宋简体" w:eastAsia="方正小标宋简体"/>
          <w:kern w:val="0"/>
          <w:sz w:val="44"/>
          <w:highlight w:val="none"/>
          <w:lang w:eastAsia="zh-CN"/>
        </w:rPr>
        <w:t>苏本立、华舜阳、冯正春、蔡颖</w:t>
      </w:r>
      <w:r>
        <w:rPr>
          <w:rFonts w:hint="eastAsia" w:ascii="方正小标宋简体" w:hAnsi="方正小标宋简体" w:eastAsia="方正小标宋简体"/>
          <w:kern w:val="0"/>
          <w:sz w:val="44"/>
          <w:highlight w:val="none"/>
        </w:rPr>
        <w:t>采取</w:t>
      </w:r>
    </w:p>
    <w:p>
      <w:pPr>
        <w:pStyle w:val="4"/>
        <w:widowControl/>
        <w:pBdr>
          <w:bottom w:val="none" w:color="auto" w:sz="0" w:space="0"/>
        </w:pBdr>
        <w:adjustRightInd w:val="0"/>
        <w:snapToGrid w:val="0"/>
        <w:spacing w:afterLines="0" w:line="240" w:lineRule="auto"/>
        <w:jc w:val="center"/>
        <w:rPr>
          <w:rFonts w:hint="default" w:ascii="方正小标宋简体" w:hAnsi="方正小标宋简体" w:eastAsia="方正小标宋简体"/>
          <w:kern w:val="0"/>
          <w:sz w:val="44"/>
          <w:highlight w:val="none"/>
        </w:rPr>
      </w:pPr>
      <w:r>
        <w:rPr>
          <w:rFonts w:hint="eastAsia" w:ascii="方正小标宋简体" w:hAnsi="方正小标宋简体" w:eastAsia="方正小标宋简体"/>
          <w:b w:val="0"/>
          <w:bCs w:val="0"/>
          <w:kern w:val="0"/>
          <w:sz w:val="44"/>
          <w:highlight w:val="none"/>
        </w:rPr>
        <w:t>出具</w:t>
      </w:r>
      <w:r>
        <w:rPr>
          <w:rFonts w:hint="eastAsia" w:ascii="方正小标宋简体" w:hAnsi="方正小标宋简体" w:eastAsia="方正小标宋简体"/>
          <w:kern w:val="0"/>
          <w:sz w:val="44"/>
          <w:highlight w:val="none"/>
        </w:rPr>
        <w:t>警示函措施的决定</w:t>
      </w:r>
    </w:p>
    <w:bookmarkEnd w:id="1"/>
    <w:p>
      <w:pPr>
        <w:adjustRightInd w:val="0"/>
        <w:snapToGrid w:val="0"/>
        <w:spacing w:afterLines="0" w:line="240" w:lineRule="auto"/>
        <w:rPr>
          <w:rFonts w:hint="eastAsia" w:ascii="方正小标宋简体" w:hAnsi="方正小标宋简体" w:eastAsia="方正小标宋简体" w:cs="方正小标宋简体"/>
          <w:spacing w:val="8"/>
          <w:kern w:val="0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广州华立科技股份有限公司、苏本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立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、华舜阳、冯正春、蔡颖：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ind w:firstLine="640" w:firstLineChars="0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0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根据《上市公司现场检查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规则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lang w:val="en-US" w:eastAsia="zh-CN"/>
        </w:rPr>
        <w:t>》（证监会公告〔2022〕21号）等规定，我局对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广州华立科技股份有限公司</w:t>
      </w:r>
      <w:r>
        <w:rPr>
          <w:rFonts w:hint="eastAsia" w:ascii="仿宋_GB2312" w:hAnsi="仿宋_GB2312" w:eastAsia="仿宋_GB2312" w:cs="宋体"/>
          <w:snapToGrid w:val="0"/>
          <w:color w:val="auto"/>
          <w:spacing w:val="8"/>
          <w:kern w:val="0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highlight w:val="none"/>
          <w:lang w:val="en-US" w:eastAsia="zh-CN"/>
        </w:rPr>
        <w:t>以下简称华立科技</w:t>
      </w:r>
      <w:r>
        <w:rPr>
          <w:rFonts w:hint="eastAsia" w:ascii="仿宋_GB2312" w:hAnsi="Times New Roman" w:eastAsia="仿宋_GB2312" w:cs="黑体"/>
          <w:spacing w:val="-6"/>
          <w:kern w:val="2"/>
          <w:sz w:val="32"/>
          <w:szCs w:val="32"/>
          <w:highlight w:val="none"/>
          <w:lang w:val="en-US" w:eastAsia="zh-CN" w:bidi="ar-SA"/>
        </w:rPr>
        <w:t>或公司</w:t>
      </w:r>
      <w:r>
        <w:rPr>
          <w:rFonts w:hint="eastAsia" w:ascii="仿宋_GB2312" w:hAnsi="仿宋_GB2312" w:eastAsia="仿宋_GB2312" w:cs="宋体"/>
          <w:snapToGrid w:val="0"/>
          <w:color w:val="auto"/>
          <w:spacing w:val="8"/>
          <w:kern w:val="0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lang w:val="en-US" w:eastAsia="zh-CN"/>
        </w:rPr>
        <w:t>进行了现场检查，发现公司存在以下问题：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2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20"/>
          <w:highlight w:val="none"/>
          <w:lang w:val="en-US" w:eastAsia="zh-CN"/>
        </w:rPr>
        <w:t>一、应收账款坏账准备计提。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20"/>
          <w:highlight w:val="none"/>
          <w:lang w:val="en-US" w:eastAsia="zh-CN"/>
        </w:rPr>
        <w:t>检查发现，公司个别应收账款对应客户已于2023年5月注销，但公司未及时发现客户还款能力变化情况，于2023年10月才在三季度报告中将该笔应收账款余额按100%进行单项计提坏账准备，涉及金额140.83万元。公司未及时跟进应收账款欠款方的还款能力，未在2023年半年报中及时计提坏账准备，导致财务信息披露不及时、不准确，不符合《上市公司信息披露管理办法》（证监会令第182号，下同）第三条第一款，《企业会计准则第22号——金融工具确认和计量》（财会[2017]7号）第四十八条第一款、第五十三条等相关规定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ind w:firstLine="0" w:firstLineChars="0"/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20"/>
          <w:lang w:val="en-US" w:eastAsia="zh-CN"/>
        </w:rPr>
        <w:t xml:space="preserve">    二、公司募集资金管理和使用。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2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20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20"/>
          <w:lang w:val="en-US" w:eastAsia="zh-CN"/>
        </w:rPr>
        <w:t>募集资金使用与存放情况披露不准确。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检查发现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公司终端业务拓展项目中设备投放投入募集资金金额采用母公司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账面核算的报关公允价值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入账，未抵销内部交易利润，导致2021年、2022年度公司募集资金存放与使用情况的专项报告相关披露数据不准确。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同时，公司在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2021年度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存在将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募集资金提前转入非募集资金账户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，在2022年度用于募投项目投入的情况，涉及金额2,023.58万元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20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20"/>
          <w:lang w:val="en-US" w:eastAsia="zh-CN"/>
        </w:rPr>
        <w:t>公司募投项目明细项目实际投资进度与投资计划存在差异。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检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查发现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公司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2021-2022年期间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募集资金投入项目明细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金额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与招股说明书所列募集资金使用计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划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明细存在差异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，但公司未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及时解释差异原因。上述情形不符合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《上市公司信息披露管理办法》第三条第一款，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《上市公司监管指引第2号——上市公司募集资金管理和使用的监管要求》（证监会公告〔2012〕44 号)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第四条、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第十一条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《上市公司监管指引第2 号——上市公司募集资金管理和使用的监管要求》（证监会公告〔2022〕15号)第十二条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lang w:val="en-US" w:eastAsia="zh-CN"/>
        </w:rPr>
        <w:t>相关规定。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ind w:firstLine="640" w:firstLineChars="0"/>
        <w:outlineLvl w:val="2"/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苏本立作为公司董事长兼总经理，华舜阳作为公司董事会秘书，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冯正春作为公司财务总监，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蔡颖作为公司时任董事会秘书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兼财务总监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，未按照《上市公司信息披露管理办法》第四条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《上市公司监管指引第2号——上市公司募集资金管理和使用的监管要求》（证监会公告〔2012〕44 号)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第二条、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《上市公司监管指引第2号——上市公司募集资金管理和使用的监管要求》（证监会公告〔2022〕15号)第三条的规定履行勤勉尽责义务，分别对公司相关违规行为负有主要责任。其中，苏本立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、冯正春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对公司上述全部违规行为负有主要责任；华舜阳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蔡颖对公司上述第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20"/>
          <w:highlight w:val="none"/>
          <w:lang w:val="en-US" w:eastAsia="zh-CN"/>
        </w:rPr>
        <w:t>项违规行为负有主要责任。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ind w:right="0" w:firstLine="640" w:firstLineChars="0"/>
        <w:jc w:val="both"/>
        <w:textAlignment w:val="auto"/>
        <w:outlineLvl w:val="2"/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上市公司信息披露管理办法》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五十二条的规定，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我局决定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对你们采取出具警示函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的行政监管措施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。你们应认真吸取教训，切实提升依法合规履职意识，加强对证券法律法规的学习，杜绝此类问题再次发生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。同时公司应对相关责任人员进行内部问责，于收到本决定书30日内向我局报送公司整改报告、内部问责情况报告，并抄报深圳证券交易所。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firstLine="640" w:firstLineChars="0"/>
        <w:jc w:val="both"/>
        <w:textAlignment w:val="auto"/>
        <w:outlineLvl w:val="9"/>
        <w:rPr>
          <w:rFonts w:hint="eastAsia" w:eastAsia="仿宋_GB2312"/>
          <w:spacing w:val="1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highlight w:val="none"/>
        </w:rPr>
        <w:t>如果对本监督管理措施不服，可以在收到本决定书之日起60日内向中国证券监督管理委员会提出行政复议申请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highlight w:val="none"/>
        </w:rPr>
        <w:t>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right="1134" w:firstLine="0"/>
        <w:jc w:val="right"/>
        <w:outlineLvl w:val="9"/>
        <w:rPr>
          <w:rFonts w:hint="eastAsia" w:ascii="仿宋_GB2312" w:hAnsi="Calibri" w:eastAsia="仿宋_GB2312"/>
          <w:spacing w:val="8"/>
          <w:sz w:val="28"/>
          <w:szCs w:val="24"/>
          <w:lang w:bidi="ar-SA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023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default" w:ascii="仿宋_GB2312" w:eastAsia="仿宋_GB2312" w:cs="Times New Roman"/>
          <w:spacing w:val="10"/>
          <w:sz w:val="32"/>
          <w:lang w:val="en-US" w:eastAsia="zh-CN"/>
        </w:rPr>
        <w:t>1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default" w:ascii="仿宋_GB2312" w:eastAsia="仿宋_GB2312" w:cs="Times New Roman"/>
          <w:spacing w:val="10"/>
          <w:sz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/>
          <w:spacing w:val="8"/>
          <w:sz w:val="24"/>
          <w:szCs w:val="24"/>
        </w:rPr>
      </w:pPr>
    </w:p>
    <w:p>
      <w:pPr>
        <w:snapToGrid w:val="0"/>
        <w:spacing w:line="360" w:lineRule="auto"/>
        <w:ind w:right="26"/>
        <w:jc w:val="left"/>
        <w:rPr>
          <w:rFonts w:hint="eastAsia" w:ascii="黑体" w:eastAsia="黑体"/>
          <w:spacing w:val="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hint="eastAsia" w:ascii="仿宋_GB2312" w:eastAsia="仿宋_GB2312"/>
          <w:spacing w:val="8"/>
          <w:sz w:val="28"/>
          <w:lang w:val="en-US" w:eastAsia="zh-CN"/>
        </w:rPr>
      </w:pPr>
      <w:r>
        <w:rPr>
          <w:rFonts w:hint="eastAsia" w:ascii="仿宋_GB2312" w:eastAsia="仿宋_GB2312"/>
          <w:spacing w:val="8"/>
          <w:sz w:val="28"/>
        </w:rPr>
        <w:t>抄送：证监会上市部、法律部；深圳证券交易所</w:t>
      </w:r>
      <w:r>
        <w:rPr>
          <w:rFonts w:hint="eastAsia" w:ascii="仿宋_GB2312" w:eastAsia="仿宋_GB2312"/>
          <w:spacing w:val="8"/>
          <w:sz w:val="28"/>
          <w:lang w:eastAsia="zh-CN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pacing w:val="8"/>
          <w:sz w:val="28"/>
        </w:rPr>
        <w:t xml:space="preserve">     </w:t>
      </w:r>
      <w:r>
        <w:rPr>
          <w:rFonts w:hint="default" w:ascii="仿宋_GB2312" w:eastAsia="仿宋_GB2312"/>
          <w:spacing w:val="8"/>
          <w:sz w:val="28"/>
          <w:lang w:val="en-US"/>
        </w:rPr>
        <w:t xml:space="preserve">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default" w:ascii="仿宋_GB2312" w:eastAsia="仿宋_GB2312"/>
          <w:spacing w:val="8"/>
          <w:sz w:val="28"/>
          <w:lang w:val="en-US"/>
        </w:rPr>
        <w:t>1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default" w:ascii="仿宋_GB2312" w:eastAsia="仿宋_GB2312"/>
          <w:spacing w:val="8"/>
          <w:sz w:val="28"/>
          <w:lang w:val="en-US" w:eastAsia="zh-CN"/>
        </w:rPr>
        <w:t>31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overflowPunct w:val="0"/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p/>
    <w:sectPr>
      <w:footerReference r:id="rId3" w:type="default"/>
      <w:pgSz w:w="11906" w:h="16838"/>
      <w:pgMar w:top="2097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3CB19"/>
    <w:rsid w:val="DAF3C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2024-01-30T13:48:00Z</dcterms:created>
  <dc:creator>刘漓竹</dc:creator>
  <cp:lastModifiedBy>刘漓竹：其他人员改稿</cp:lastModifiedBy>
  <dcterms:modified xsi:type="dcterms:W3CDTF">2024-01-30T13:49:37Z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041F1A32D67CA779B68DB865FA1B0610</vt:lpwstr>
  </property>
</Properties>
</file>