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jc w:val="center"/>
        <w:rPr>
          <w:rFonts w:hint="eastAsia" w:ascii="方正小标宋简体" w:hAnsi="方正小标宋简体" w:eastAsia="方正小标宋简体"/>
          <w:b/>
          <w:color w:val="FF0000"/>
          <w:w w:val="95"/>
          <w:kern w:val="0"/>
          <w:sz w:val="44"/>
          <w:szCs w:val="116"/>
        </w:rPr>
      </w:pPr>
      <w:r>
        <w:rPr>
          <w:rFonts w:hint="eastAsia" w:ascii="方正小标宋简体" w:hAnsi="方正小标宋简体" w:eastAsia="方正小标宋简体" w:cs="黑体"/>
          <w:b/>
          <w:color w:val="FF0000"/>
          <w:w w:val="95"/>
          <w:sz w:val="44"/>
          <w:szCs w:val="72"/>
        </w:rPr>
        <w:t>中国证券监督管理委员会广东监管局</w:t>
      </w:r>
    </w:p>
    <w:p>
      <w:pPr>
        <w:jc w:val="center"/>
        <w:rPr>
          <w:rFonts w:hint="eastAsia" w:ascii="方正小标宋简体" w:hAnsi="方正小标宋简体" w:eastAsia="方正小标宋简体"/>
          <w:snapToGrid w:val="0"/>
          <w:spacing w:val="85"/>
          <w:w w:val="9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snapToGrid w:val="0"/>
          <w:color w:val="FF0000"/>
          <w:spacing w:val="85"/>
          <w:w w:val="90"/>
          <w:sz w:val="72"/>
          <w:szCs w:val="72"/>
        </w:rPr>
        <w:t>行政监管措施决定书</w:t>
      </w:r>
    </w:p>
    <w:p>
      <w:pPr>
        <w:snapToGrid w:val="0"/>
        <w:jc w:val="center"/>
        <w:rPr>
          <w:rFonts w:hint="eastAsia" w:ascii="仿宋_GB2312" w:hAnsi="仿宋_GB2312" w:eastAsia="仿宋_GB2312" w:cs="宋体"/>
          <w:sz w:val="28"/>
          <w:szCs w:val="28"/>
        </w:rPr>
      </w:pPr>
    </w:p>
    <w:p>
      <w:pPr>
        <w:snapToGrid w:val="0"/>
        <w:spacing w:before="156" w:beforeLines="50" w:line="300" w:lineRule="auto"/>
        <w:jc w:val="center"/>
        <w:rPr>
          <w:rFonts w:ascii="黑体" w:hAnsi="Times New Roman" w:eastAsia="黑体" w:cs="Times New Roman"/>
          <w:color w:val="000000"/>
          <w:spacing w:val="12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〔20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default" w:ascii="仿宋_GB2312" w:eastAsia="仿宋_GB2312" w:cs="Times New Roman"/>
          <w:color w:val="000000"/>
          <w:spacing w:val="12"/>
          <w:sz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〕</w:t>
      </w:r>
      <w:r>
        <w:rPr>
          <w:rFonts w:hint="default" w:ascii="仿宋_GB2312" w:hAnsi="Times New Roman" w:eastAsia="仿宋_GB2312" w:cs="Times New Roman"/>
          <w:color w:val="000000"/>
          <w:spacing w:val="12"/>
          <w:sz w:val="28"/>
          <w:lang w:val="en-US"/>
        </w:rPr>
        <w:t>2</w:t>
      </w:r>
      <w:r>
        <w:rPr>
          <w:rFonts w:hint="default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号</w:t>
      </w:r>
    </w:p>
    <w:p>
      <w:pPr>
        <w:snapToGrid w:val="0"/>
        <w:jc w:val="center"/>
        <w:rPr>
          <w:rFonts w:hint="eastAsia" w:ascii="仿宋_GB2312" w:hAns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128905</wp:posOffset>
                </wp:positionV>
                <wp:extent cx="555180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80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35pt;margin-top:10.15pt;height:0.05pt;width:437.15pt;z-index:251659264;mso-width-relative:page;mso-height-relative:page;" filled="f" stroked="t" coordsize="21600,21600" o:gfxdata="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</w:rPr>
      </w:pPr>
    </w:p>
    <w:p>
      <w:pPr>
        <w:widowControl/>
        <w:wordWrap/>
        <w:adjustRightInd w:val="0"/>
        <w:snapToGrid w:val="0"/>
        <w:spacing w:before="0" w:beforeLines="0" w:after="0" w:afterLines="0" w:line="240" w:lineRule="auto"/>
        <w:ind w:left="0" w:leftChars="0" w:right="0" w:firstLine="220" w:firstLineChars="5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kern w:val="0"/>
          <w:sz w:val="44"/>
          <w:lang w:eastAsia="zh-CN"/>
        </w:rPr>
      </w:pPr>
      <w:bookmarkStart w:id="1" w:name="_GoBack"/>
      <w:bookmarkStart w:id="0" w:name="quanwen"/>
      <w:r>
        <w:rPr>
          <w:rFonts w:hint="eastAsia" w:ascii="方正小标宋简体" w:hAnsi="方正小标宋简体" w:eastAsia="方正小标宋简体"/>
          <w:kern w:val="0"/>
          <w:sz w:val="44"/>
        </w:rPr>
        <w:t>关</w:t>
      </w:r>
      <w:r>
        <w:rPr>
          <w:rFonts w:hint="eastAsia" w:ascii="方正小标宋简体" w:hAnsi="方正小标宋简体" w:eastAsia="方正小标宋简体"/>
          <w:b w:val="0"/>
          <w:bCs w:val="0"/>
          <w:kern w:val="0"/>
          <w:sz w:val="44"/>
        </w:rPr>
        <w:t>于对</w:t>
      </w:r>
      <w:r>
        <w:rPr>
          <w:rFonts w:hint="eastAsia" w:ascii="方正小标宋简体" w:hAnsi="方正小标宋简体" w:eastAsia="方正小标宋简体"/>
          <w:b w:val="0"/>
          <w:bCs w:val="0"/>
          <w:kern w:val="0"/>
          <w:sz w:val="44"/>
          <w:lang w:eastAsia="zh-CN"/>
        </w:rPr>
        <w:t>广东和胜工业铝材股份有限公司、</w:t>
      </w:r>
    </w:p>
    <w:p>
      <w:pPr>
        <w:widowControl/>
        <w:wordWrap/>
        <w:adjustRightInd w:val="0"/>
        <w:snapToGrid w:val="0"/>
        <w:spacing w:before="0" w:beforeLines="0" w:after="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b w:val="0"/>
          <w:bCs w:val="0"/>
          <w:kern w:val="0"/>
          <w:sz w:val="44"/>
          <w:lang w:eastAsia="zh-CN"/>
        </w:rPr>
        <w:t>李建湘、李信</w:t>
      </w:r>
      <w:r>
        <w:rPr>
          <w:rFonts w:hint="eastAsia" w:ascii="方正小标宋简体" w:hAnsi="方正小标宋简体" w:eastAsia="方正小标宋简体"/>
          <w:b w:val="0"/>
          <w:bCs w:val="0"/>
          <w:kern w:val="0"/>
          <w:sz w:val="44"/>
        </w:rPr>
        <w:t>采取出具</w:t>
      </w:r>
      <w:r>
        <w:rPr>
          <w:rFonts w:hint="eastAsia" w:ascii="方正小标宋简体" w:hAnsi="方正小标宋简体" w:eastAsia="方正小标宋简体"/>
          <w:kern w:val="0"/>
          <w:sz w:val="44"/>
        </w:rPr>
        <w:t>警示函措施的决定</w:t>
      </w:r>
      <w:bookmarkEnd w:id="1"/>
    </w:p>
    <w:p>
      <w:pPr>
        <w:pStyle w:val="2"/>
        <w:snapToGrid w:val="0"/>
        <w:spacing w:beforeLines="0" w:afterLines="0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2"/>
        <w:overflowPunct w:val="0"/>
        <w:snapToGrid w:val="0"/>
        <w:spacing w:beforeLines="0" w:afterLines="0" w:line="348" w:lineRule="auto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广东和胜工业铝材股份有限公司、李建湘、李信：</w:t>
      </w:r>
    </w:p>
    <w:p>
      <w:pPr>
        <w:overflowPunct w:val="0"/>
        <w:adjustRightInd/>
        <w:snapToGrid w:val="0"/>
        <w:spacing w:beforeLines="0" w:afterLines="0" w:line="348" w:lineRule="auto"/>
        <w:ind w:firstLine="640" w:firstLineChars="200"/>
        <w:rPr>
          <w:rFonts w:hint="eastAsia" w:ascii="仿宋_GB2312" w:hAnsi="仿宋" w:eastAsia="仿宋_GB2312" w:cs="Times New Roman"/>
          <w:color w:val="auto"/>
          <w:kern w:val="0"/>
          <w:sz w:val="32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经查，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广东和胜工业铝材股份有限公司（以下简称和胜股份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0"/>
          <w:highlight w:val="none"/>
          <w:lang w:val="en-US" w:eastAsia="zh-CN"/>
        </w:rPr>
        <w:t>或公司）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0"/>
          <w:highlight w:val="none"/>
        </w:rPr>
        <w:t>存在以下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0"/>
          <w:highlight w:val="none"/>
          <w:lang w:eastAsia="zh-CN"/>
        </w:rPr>
        <w:t>问题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0"/>
          <w:highlight w:val="none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Lines="0" w:after="0" w:afterLines="0" w:line="348" w:lineRule="auto"/>
        <w:ind w:left="0" w:leftChars="0" w:right="0" w:firstLine="640" w:firstLineChars="200"/>
        <w:jc w:val="both"/>
        <w:textAlignment w:val="baseline"/>
        <w:outlineLvl w:val="9"/>
        <w:rPr>
          <w:rFonts w:hint="default" w:ascii="仿宋_GB2312" w:hAnsi="仿宋" w:eastAsia="仿宋_GB2312" w:cs="Times New Roman"/>
          <w:b w:val="0"/>
          <w:bCs w:val="0"/>
          <w:color w:val="auto"/>
          <w:spacing w:val="0"/>
          <w:kern w:val="0"/>
          <w:sz w:val="32"/>
          <w:szCs w:val="30"/>
          <w:highlight w:val="none"/>
          <w:lang w:val="en" w:eastAsia="zh-CN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0"/>
          <w:highlight w:val="none"/>
          <w:lang w:val="en-US" w:eastAsia="zh-CN"/>
        </w:rPr>
        <w:t>公司2021年、2022年合并及母公司现金流量表的“销售商品、提供劳务收到的现金”“购买商品、接受劳务支付的现金”“支付其他与经营活动有关的现金”“处置固定资产、无形资产和其他长期资产收回的现金净额”“购建固定资产、无形资产和其他长期资产支付的现金”或“投资支付的现金”等报表科目金额存在错误，导致公司2021年年度合并现金流量表的“经营活动产生的现金流量净额”多计0.76亿元、“投资活动产生的现金流量金额”少计0.76亿元；2022年年度合并现金流量表“经营活动产生的现金流量净额”多计1.20亿元、“投资活动产生的现金流量净额”少计1.20亿元；2021年年度母公司“现金流量表的经营活动产生的现金流量净额”多计0.41亿元、“投资活动产生的现金流量净额”少计0.41亿元；2022年度母公司现金流量表的“经营活动产生的现金流量净额”多计0.46亿元、“投资活动产生的现金流量净额”少计0.46亿元。公司前期披露的</w:t>
      </w:r>
      <w:r>
        <w:rPr>
          <w:rFonts w:hint="eastAsia" w:ascii="仿宋_GB2312" w:hAnsi="仿宋" w:eastAsia="仿宋_GB2312"/>
          <w:color w:val="auto"/>
          <w:spacing w:val="0"/>
          <w:sz w:val="32"/>
          <w:szCs w:val="30"/>
          <w:highlight w:val="none"/>
          <w:lang w:eastAsia="zh-CN"/>
        </w:rPr>
        <w:t>《2021年年度报告》《2022年年年度报告》中涉及的相关财务信息不准确，</w:t>
      </w:r>
      <w:r>
        <w:rPr>
          <w:rFonts w:hint="eastAsia" w:ascii="仿宋_GB2312" w:hAnsi="仿宋" w:eastAsia="仿宋_GB2312" w:cs="Times New Roman"/>
          <w:color w:val="auto"/>
          <w:spacing w:val="0"/>
          <w:sz w:val="32"/>
          <w:szCs w:val="30"/>
          <w:highlight w:val="none"/>
        </w:rPr>
        <w:t>违反了《上市公司信息披露管理办法》（证监会令第</w:t>
      </w:r>
      <w:r>
        <w:rPr>
          <w:rFonts w:hint="eastAsia" w:ascii="仿宋_GB2312" w:hAnsi="仿宋" w:eastAsia="仿宋_GB2312" w:cs="Times New Roman"/>
          <w:color w:val="auto"/>
          <w:spacing w:val="0"/>
          <w:sz w:val="32"/>
          <w:szCs w:val="30"/>
          <w:highlight w:val="none"/>
          <w:lang w:val="en-US" w:eastAsia="zh-CN"/>
        </w:rPr>
        <w:t>182</w:t>
      </w:r>
      <w:r>
        <w:rPr>
          <w:rFonts w:hint="eastAsia" w:ascii="仿宋_GB2312" w:hAnsi="仿宋" w:eastAsia="仿宋_GB2312" w:cs="Times New Roman"/>
          <w:color w:val="auto"/>
          <w:spacing w:val="0"/>
          <w:sz w:val="32"/>
          <w:szCs w:val="30"/>
          <w:highlight w:val="none"/>
        </w:rPr>
        <w:t>号）第</w:t>
      </w:r>
      <w:r>
        <w:rPr>
          <w:rFonts w:hint="eastAsia" w:ascii="仿宋_GB2312" w:hAnsi="仿宋" w:eastAsia="仿宋_GB2312" w:cs="Times New Roman"/>
          <w:color w:val="auto"/>
          <w:spacing w:val="0"/>
          <w:sz w:val="32"/>
          <w:szCs w:val="30"/>
          <w:highlight w:val="none"/>
          <w:lang w:eastAsia="zh-CN"/>
        </w:rPr>
        <w:t>三</w:t>
      </w:r>
      <w:r>
        <w:rPr>
          <w:rFonts w:hint="eastAsia" w:ascii="仿宋_GB2312" w:hAnsi="仿宋" w:eastAsia="仿宋_GB2312" w:cs="Times New Roman"/>
          <w:color w:val="auto"/>
          <w:spacing w:val="0"/>
          <w:sz w:val="32"/>
          <w:szCs w:val="30"/>
          <w:highlight w:val="none"/>
        </w:rPr>
        <w:t>条</w:t>
      </w:r>
      <w:r>
        <w:rPr>
          <w:rFonts w:hint="eastAsia" w:ascii="仿宋_GB2312" w:hAnsi="仿宋" w:eastAsia="仿宋_GB2312" w:cs="Times New Roman"/>
          <w:color w:val="auto"/>
          <w:spacing w:val="0"/>
          <w:sz w:val="32"/>
          <w:szCs w:val="30"/>
          <w:highlight w:val="none"/>
          <w:lang w:eastAsia="zh-CN"/>
        </w:rPr>
        <w:t>等相关</w:t>
      </w:r>
      <w:r>
        <w:rPr>
          <w:rFonts w:hint="eastAsia" w:ascii="仿宋_GB2312" w:hAnsi="仿宋" w:eastAsia="仿宋_GB2312" w:cs="Times New Roman"/>
          <w:color w:val="auto"/>
          <w:spacing w:val="0"/>
          <w:sz w:val="32"/>
          <w:szCs w:val="30"/>
          <w:highlight w:val="none"/>
        </w:rPr>
        <w:t>规定。</w:t>
      </w:r>
      <w:r>
        <w:rPr>
          <w:rFonts w:hint="eastAsia" w:ascii="仿宋_GB2312" w:hAnsi="仿宋" w:eastAsia="仿宋_GB2312" w:cs="Times New Roman"/>
          <w:b w:val="0"/>
          <w:bCs w:val="0"/>
          <w:color w:val="auto"/>
          <w:spacing w:val="0"/>
          <w:sz w:val="32"/>
          <w:szCs w:val="30"/>
          <w:highlight w:val="none"/>
          <w:lang w:eastAsia="zh-CN"/>
        </w:rPr>
        <w:t>公司于</w:t>
      </w:r>
      <w:r>
        <w:rPr>
          <w:rFonts w:hint="default" w:ascii="仿宋_GB2312" w:hAnsi="仿宋" w:eastAsia="仿宋_GB2312" w:cs="Times New Roman"/>
          <w:b w:val="0"/>
          <w:bCs w:val="0"/>
          <w:color w:val="auto"/>
          <w:spacing w:val="0"/>
          <w:sz w:val="32"/>
          <w:szCs w:val="30"/>
          <w:highlight w:val="none"/>
          <w:lang w:val="en-US" w:eastAsia="zh-CN"/>
        </w:rPr>
        <w:t>2024</w:t>
      </w:r>
      <w:r>
        <w:rPr>
          <w:rFonts w:hint="eastAsia" w:ascii="仿宋_GB2312" w:hAnsi="仿宋" w:eastAsia="仿宋_GB2312" w:cs="Times New Roman"/>
          <w:b w:val="0"/>
          <w:bCs w:val="0"/>
          <w:color w:val="auto"/>
          <w:spacing w:val="0"/>
          <w:sz w:val="32"/>
          <w:szCs w:val="30"/>
          <w:highlight w:val="none"/>
          <w:lang w:val="en-US" w:eastAsia="zh-CN"/>
        </w:rPr>
        <w:t>年3月15日</w:t>
      </w:r>
      <w:r>
        <w:rPr>
          <w:rFonts w:hint="eastAsia" w:ascii="仿宋_GB2312" w:hAnsi="仿宋" w:eastAsia="仿宋_GB2312" w:cs="Times New Roman"/>
          <w:color w:val="auto"/>
          <w:spacing w:val="0"/>
          <w:sz w:val="32"/>
          <w:szCs w:val="30"/>
          <w:highlight w:val="none"/>
          <w:lang w:val="en-US" w:eastAsia="zh-CN"/>
        </w:rPr>
        <w:t>发布了《关于前期会计差错更正的公告》，对上述会计差错进行了更正。</w:t>
      </w:r>
    </w:p>
    <w:p>
      <w:pPr>
        <w:pStyle w:val="2"/>
        <w:widowControl w:val="0"/>
        <w:numPr>
          <w:ilvl w:val="0"/>
          <w:numId w:val="0"/>
        </w:numPr>
        <w:wordWrap/>
        <w:overflowPunct w:val="0"/>
        <w:adjustRightInd/>
        <w:snapToGrid w:val="0"/>
        <w:spacing w:before="0" w:beforeLines="0" w:after="0" w:afterLines="0" w:line="348" w:lineRule="auto"/>
        <w:ind w:left="0" w:leftChars="0" w:right="0" w:firstLine="640" w:firstLineChars="200"/>
        <w:jc w:val="both"/>
        <w:textAlignment w:val="baseline"/>
        <w:outlineLvl w:val="9"/>
        <w:rPr>
          <w:rFonts w:ascii="仿宋_GB2312" w:hAnsi="??" w:eastAsia="仿宋_GB2312" w:cs="Times New Roman"/>
          <w:color w:val="auto"/>
          <w:spacing w:val="0"/>
          <w:kern w:val="0"/>
          <w:sz w:val="32"/>
          <w:szCs w:val="20"/>
          <w:highlight w:val="none"/>
        </w:rPr>
      </w:pPr>
      <w:r>
        <w:rPr>
          <w:rFonts w:hint="eastAsia" w:ascii="仿宋_GB2312" w:hAnsi="仿宋" w:eastAsia="仿宋_GB2312" w:cs="Times New Roman"/>
          <w:b w:val="0"/>
          <w:bCs w:val="0"/>
          <w:color w:val="auto"/>
          <w:spacing w:val="0"/>
          <w:kern w:val="0"/>
          <w:sz w:val="32"/>
          <w:szCs w:val="30"/>
          <w:highlight w:val="none"/>
          <w:lang w:val="en-US" w:eastAsia="zh-CN"/>
        </w:rPr>
        <w:t>和胜股份董事长、总经理李建湘、财务总监李信未按照《上市公司信息披露管理办法》第四条的规定履行勤勉尽责义务，对公司上述违规行为负有主要责任</w:t>
      </w:r>
      <w:r>
        <w:rPr>
          <w:rFonts w:hint="eastAsia" w:ascii="仿宋_GB2312" w:hAnsi="Times New Roman" w:eastAsia="仿宋_GB2312" w:cs="Times New Roman"/>
          <w:b w:val="0"/>
          <w:bCs w:val="0"/>
          <w:spacing w:val="0"/>
          <w:kern w:val="0"/>
          <w:sz w:val="32"/>
          <w:szCs w:val="20"/>
          <w:highlight w:val="none"/>
          <w:lang w:val="en-US" w:eastAsia="zh-CN"/>
        </w:rPr>
        <w:t>。</w:t>
      </w:r>
    </w:p>
    <w:p>
      <w:pPr>
        <w:pStyle w:val="2"/>
        <w:numPr>
          <w:ilvl w:val="0"/>
          <w:numId w:val="0"/>
        </w:numPr>
        <w:wordWrap/>
        <w:overflowPunct w:val="0"/>
        <w:adjustRightInd/>
        <w:snapToGrid w:val="0"/>
        <w:spacing w:beforeLines="0" w:afterLines="0" w:line="348" w:lineRule="auto"/>
        <w:ind w:left="0" w:leftChars="0" w:firstLine="640" w:firstLineChars="200"/>
        <w:textAlignment w:val="baseline"/>
        <w:outlineLvl w:val="9"/>
        <w:rPr>
          <w:rFonts w:hint="eastAsia" w:ascii="仿宋_GB2312" w:hAnsi="仿宋_GB2312" w:eastAsia="仿宋_GB2312" w:cs="Times New Roman"/>
          <w:kern w:val="0"/>
          <w:sz w:val="32"/>
          <w:szCs w:val="20"/>
          <w:highlight w:val="none"/>
        </w:rPr>
      </w:pPr>
      <w:r>
        <w:rPr>
          <w:rFonts w:ascii="仿宋_GB2312" w:hAnsi="??" w:eastAsia="仿宋_GB2312" w:cs="Times New Roman"/>
          <w:color w:val="auto"/>
          <w:spacing w:val="0"/>
          <w:kern w:val="0"/>
          <w:sz w:val="32"/>
          <w:szCs w:val="20"/>
          <w:highlight w:val="none"/>
        </w:rPr>
        <w:t>根据</w:t>
      </w:r>
      <w:r>
        <w:rPr>
          <w:rFonts w:hint="eastAsia" w:ascii="仿宋_GB2312" w:hAnsi="仿宋_GB2312" w:eastAsia="仿宋_GB2312" w:cs="Times New Roman"/>
          <w:color w:val="auto"/>
          <w:spacing w:val="0"/>
          <w:kern w:val="0"/>
          <w:sz w:val="32"/>
          <w:szCs w:val="20"/>
          <w:highlight w:val="none"/>
        </w:rPr>
        <w:t>《上市公司信息披露管理办法》</w:t>
      </w:r>
      <w:r>
        <w:rPr>
          <w:rFonts w:hint="eastAsia" w:ascii="仿宋_GB2312" w:hAnsi="仿宋_GB2312" w:eastAsia="仿宋_GB2312" w:cs="Times New Roman"/>
          <w:color w:val="auto"/>
          <w:spacing w:val="0"/>
          <w:kern w:val="0"/>
          <w:sz w:val="32"/>
          <w:szCs w:val="20"/>
          <w:highlight w:val="none"/>
          <w:lang w:eastAsia="zh-CN"/>
        </w:rPr>
        <w:t>第</w:t>
      </w:r>
      <w:r>
        <w:rPr>
          <w:rFonts w:hint="eastAsia" w:ascii="仿宋_GB2312" w:hAnsi="仿宋_GB2312" w:eastAsia="仿宋_GB2312" w:cs="Times New Roman"/>
          <w:color w:val="auto"/>
          <w:spacing w:val="0"/>
          <w:kern w:val="0"/>
          <w:sz w:val="32"/>
          <w:szCs w:val="20"/>
          <w:highlight w:val="none"/>
        </w:rPr>
        <w:t>五十</w:t>
      </w:r>
      <w:r>
        <w:rPr>
          <w:rFonts w:hint="eastAsia" w:ascii="仿宋_GB2312" w:hAnsi="仿宋_GB2312" w:eastAsia="仿宋_GB2312" w:cs="Times New Roman"/>
          <w:color w:val="auto"/>
          <w:spacing w:val="0"/>
          <w:kern w:val="0"/>
          <w:sz w:val="32"/>
          <w:szCs w:val="20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Times New Roman"/>
          <w:color w:val="auto"/>
          <w:spacing w:val="0"/>
          <w:kern w:val="0"/>
          <w:sz w:val="32"/>
          <w:szCs w:val="20"/>
          <w:highlight w:val="none"/>
        </w:rPr>
        <w:t>条</w:t>
      </w:r>
      <w:r>
        <w:rPr>
          <w:rFonts w:hint="eastAsia" w:ascii="仿宋_GB2312" w:hAnsi="仿宋_GB2312" w:eastAsia="仿宋_GB2312" w:cs="Times New Roman"/>
          <w:color w:val="auto"/>
          <w:spacing w:val="0"/>
          <w:kern w:val="0"/>
          <w:sz w:val="32"/>
          <w:szCs w:val="20"/>
          <w:highlight w:val="none"/>
          <w:lang w:eastAsia="zh-CN"/>
        </w:rPr>
        <w:t>等相关</w:t>
      </w:r>
      <w:r>
        <w:rPr>
          <w:rFonts w:ascii="仿宋_GB2312" w:hAnsi="??" w:eastAsia="仿宋_GB2312" w:cs="Times New Roman"/>
          <w:color w:val="auto"/>
          <w:spacing w:val="0"/>
          <w:kern w:val="0"/>
          <w:sz w:val="32"/>
          <w:szCs w:val="20"/>
          <w:highlight w:val="none"/>
        </w:rPr>
        <w:t>规定</w:t>
      </w:r>
      <w:r>
        <w:rPr>
          <w:rFonts w:hint="eastAsia" w:ascii="仿宋_GB2312" w:hAnsi="??" w:eastAsia="仿宋_GB2312" w:cs="Times New Roman"/>
          <w:color w:val="auto"/>
          <w:spacing w:val="0"/>
          <w:kern w:val="0"/>
          <w:sz w:val="32"/>
          <w:szCs w:val="20"/>
          <w:highlight w:val="none"/>
        </w:rPr>
        <w:t>，</w:t>
      </w:r>
      <w:r>
        <w:rPr>
          <w:rFonts w:hint="eastAsia" w:ascii="仿宋_GB2312" w:hAnsi="??" w:eastAsia="仿宋_GB2312" w:cs="Times New Roman"/>
          <w:color w:val="auto"/>
          <w:spacing w:val="0"/>
          <w:kern w:val="0"/>
          <w:sz w:val="32"/>
          <w:szCs w:val="20"/>
          <w:highlight w:val="none"/>
          <w:lang w:eastAsia="zh-CN"/>
        </w:rPr>
        <w:t>我局决定对</w:t>
      </w:r>
      <w:r>
        <w:rPr>
          <w:rFonts w:hint="eastAsia" w:ascii="仿宋_GB2312" w:hAnsi="仿宋" w:eastAsia="仿宋_GB2312" w:cs="Times New Roman"/>
          <w:b w:val="0"/>
          <w:bCs w:val="0"/>
          <w:color w:val="auto"/>
          <w:spacing w:val="0"/>
          <w:kern w:val="0"/>
          <w:sz w:val="32"/>
          <w:szCs w:val="30"/>
          <w:highlight w:val="none"/>
          <w:lang w:val="en-US" w:eastAsia="zh-CN"/>
        </w:rPr>
        <w:t>和胜股份、李建湘、李信</w:t>
      </w:r>
      <w:r>
        <w:rPr>
          <w:rFonts w:hint="eastAsia" w:ascii="仿宋_GB2312" w:hAnsi="??" w:eastAsia="仿宋_GB2312" w:cs="Times New Roman"/>
          <w:color w:val="auto"/>
          <w:spacing w:val="0"/>
          <w:kern w:val="0"/>
          <w:sz w:val="32"/>
          <w:szCs w:val="20"/>
          <w:highlight w:val="none"/>
          <w:lang w:eastAsia="zh-CN"/>
        </w:rPr>
        <w:t>采取出具警示函的行政监管措施。你们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20"/>
          <w:highlight w:val="none"/>
        </w:rPr>
        <w:t>应认真吸取教训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20"/>
          <w:highlight w:val="none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20"/>
          <w:highlight w:val="none"/>
        </w:rPr>
        <w:t>切实加强财务知识的学习，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依法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真实、准确、完整、及时、公平地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履行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信息披露义务，切实规范财务核算行为。</w:t>
      </w:r>
    </w:p>
    <w:p>
      <w:pPr>
        <w:pStyle w:val="2"/>
        <w:numPr>
          <w:ilvl w:val="0"/>
          <w:numId w:val="0"/>
        </w:numPr>
        <w:wordWrap/>
        <w:overflowPunct w:val="0"/>
        <w:adjustRightInd/>
        <w:snapToGrid w:val="0"/>
        <w:spacing w:beforeLines="0" w:afterLines="0" w:line="348" w:lineRule="auto"/>
        <w:ind w:left="0" w:leftChars="0" w:firstLine="640" w:firstLineChars="200"/>
        <w:textAlignment w:val="baseline"/>
        <w:outlineLvl w:val="9"/>
        <w:rPr>
          <w:rFonts w:hint="eastAsia" w:ascii="Times New Roman" w:hAnsi="Times New Roman" w:eastAsia="仿宋_GB2312" w:cs="Times New Roman"/>
          <w:spacing w:val="0"/>
          <w:kern w:val="0"/>
          <w:sz w:val="32"/>
          <w:szCs w:val="20"/>
          <w:highlight w:val="none"/>
        </w:rPr>
      </w:pPr>
      <w:r>
        <w:rPr>
          <w:rFonts w:hint="eastAsia" w:ascii="仿宋_GB2312" w:hAnsi="仿宋_GB2312" w:eastAsia="仿宋_GB2312" w:cs="Times New Roman"/>
          <w:kern w:val="0"/>
          <w:sz w:val="32"/>
          <w:szCs w:val="20"/>
          <w:highlight w:val="none"/>
        </w:rPr>
        <w:t>如果对本监督管理措施不服，可以在收到本决定书之日起60日内向中国证券监督管理委员会提出行政复议申请；也可以在收到本决定书之日起6个月内向有管辖权的人民法院提起诉讼。复议与诉讼期间，上述监督管理措施不停止执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right="1705"/>
        <w:jc w:val="right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广东证监局</w:t>
      </w:r>
    </w:p>
    <w:p>
      <w:pPr>
        <w:widowControl/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 w:val="0"/>
        <w:snapToGrid w:val="0"/>
        <w:spacing w:beforeLines="0" w:afterLines="0" w:line="360" w:lineRule="auto"/>
        <w:ind w:firstLine="0"/>
        <w:jc w:val="center"/>
        <w:outlineLvl w:val="9"/>
        <w:rPr>
          <w:rFonts w:hint="eastAsia" w:ascii="仿宋_GB2312" w:hAnsi="Times New Roman" w:eastAsia="仿宋_GB2312"/>
          <w:spacing w:val="8"/>
          <w:sz w:val="28"/>
          <w:szCs w:val="20"/>
        </w:rPr>
      </w:pPr>
      <w:r>
        <w:rPr>
          <w:rFonts w:hint="eastAsia" w:ascii="仿宋_GB2312" w:hAnsi="Times New Roman" w:eastAsia="仿宋_GB2312" w:cs="Times New Roman"/>
          <w:color w:val="000000"/>
          <w:spacing w:val="1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  <w:t xml:space="preserve">         </w:t>
      </w:r>
      <w:r>
        <w:rPr>
          <w:rFonts w:hint="default" w:ascii="仿宋_GB2312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  <w:lang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  <w:t>024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snapToGrid w:val="0"/>
        <w:spacing w:line="300" w:lineRule="auto"/>
        <w:ind w:right="26"/>
        <w:jc w:val="left"/>
        <w:rPr>
          <w:rFonts w:hint="eastAsia" w:ascii="黑体" w:eastAsia="黑体"/>
          <w:spacing w:val="8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6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9" w:afterLines="35"/>
        <w:ind w:firstLine="317" w:firstLineChars="0"/>
        <w:textAlignment w:val="auto"/>
        <w:rPr>
          <w:rFonts w:ascii="长城仿宋" w:eastAsia="长城仿宋"/>
          <w:sz w:val="28"/>
        </w:rPr>
      </w:pPr>
      <w:r>
        <w:rPr>
          <w:rFonts w:hint="eastAsia" w:ascii="仿宋_GB2312" w:eastAsia="仿宋_GB2312"/>
          <w:spacing w:val="8"/>
          <w:sz w:val="28"/>
        </w:rPr>
        <w:t>抄送：证监会上市司、法治司；深圳证券交易所。</w:t>
      </w:r>
    </w:p>
    <w:p>
      <w:pPr>
        <w:pBdr>
          <w:top w:val="single" w:color="auto" w:sz="4" w:space="6"/>
        </w:pBdr>
        <w:adjustRightInd w:val="0"/>
        <w:snapToGrid w:val="0"/>
        <w:spacing w:after="109" w:afterLines="35"/>
        <w:ind w:firstLine="318"/>
        <w:jc w:val="left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eastAsia="仿宋_GB2312"/>
          <w:spacing w:val="8"/>
          <w:sz w:val="28"/>
        </w:rPr>
        <w:t xml:space="preserve">广东证监局办公室              </w:t>
      </w:r>
      <w:r>
        <w:rPr>
          <w:rFonts w:hint="default" w:ascii="仿宋_GB2312" w:eastAsia="仿宋_GB2312"/>
          <w:spacing w:val="8"/>
          <w:sz w:val="28"/>
          <w:lang w:val="en-US"/>
        </w:rPr>
        <w:t xml:space="preserve">    </w:t>
      </w:r>
      <w:r>
        <w:rPr>
          <w:rFonts w:hint="eastAsia" w:ascii="仿宋_GB2312" w:eastAsia="仿宋_GB2312"/>
          <w:spacing w:val="8"/>
          <w:sz w:val="28"/>
        </w:rPr>
        <w:t xml:space="preserve"> </w:t>
      </w:r>
      <w:r>
        <w:rPr>
          <w:rFonts w:hint="default" w:ascii="仿宋_GB2312" w:eastAsia="仿宋_GB2312"/>
          <w:spacing w:val="8"/>
          <w:sz w:val="28"/>
          <w:lang w:val="en" w:eastAsia="zh-CN"/>
        </w:rPr>
        <w:t>202</w:t>
      </w:r>
      <w:r>
        <w:rPr>
          <w:rFonts w:hint="default" w:ascii="仿宋_GB2312" w:eastAsia="仿宋_GB2312"/>
          <w:spacing w:val="8"/>
          <w:sz w:val="28"/>
          <w:lang w:val="en-US" w:eastAsia="zh-CN"/>
        </w:rPr>
        <w:t>4</w:t>
      </w:r>
      <w:r>
        <w:rPr>
          <w:rFonts w:hint="eastAsia" w:ascii="仿宋_GB2312" w:eastAsia="仿宋_GB2312"/>
          <w:spacing w:val="8"/>
          <w:sz w:val="28"/>
        </w:rPr>
        <w:t>年</w:t>
      </w:r>
      <w:r>
        <w:rPr>
          <w:rFonts w:hint="default" w:ascii="仿宋_GB2312" w:eastAsia="仿宋_GB2312"/>
          <w:spacing w:val="8"/>
          <w:sz w:val="28"/>
          <w:lang w:val="en-US"/>
        </w:rPr>
        <w:t>3</w:t>
      </w:r>
      <w:r>
        <w:rPr>
          <w:rFonts w:hint="eastAsia" w:ascii="仿宋_GB2312" w:eastAsia="仿宋_GB2312"/>
          <w:spacing w:val="8"/>
          <w:sz w:val="28"/>
        </w:rPr>
        <w:t>月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20</w:t>
      </w:r>
      <w:r>
        <w:rPr>
          <w:rFonts w:hint="eastAsia" w:ascii="仿宋_GB2312" w:eastAsia="仿宋_GB2312"/>
          <w:spacing w:val="8"/>
          <w:sz w:val="28"/>
        </w:rPr>
        <w:t>日印发</w:t>
      </w:r>
    </w:p>
    <w:p>
      <w:pPr>
        <w:pBdr>
          <w:top w:val="single" w:color="auto" w:sz="8" w:space="7"/>
        </w:pBdr>
        <w:overflowPunct w:val="0"/>
        <w:adjustRightInd w:val="0"/>
        <w:snapToGrid w:val="0"/>
        <w:spacing w:beforeLines="0" w:after="0" w:afterLines="0"/>
        <w:ind w:firstLine="0"/>
        <w:jc w:val="left"/>
        <w:rPr>
          <w:rFonts w:hint="eastAsia" w:ascii="仿宋_GB2312" w:eastAsia="仿宋_GB2312"/>
          <w:spacing w:val="8"/>
          <w:sz w:val="2"/>
          <w:szCs w:val="2"/>
        </w:rPr>
      </w:pPr>
    </w:p>
    <w:bookmarkEnd w:id="0"/>
    <w:p>
      <w:pPr>
        <w:snapToGrid w:val="0"/>
        <w:spacing w:beforeLines="0" w:afterLines="0"/>
        <w:rPr>
          <w:sz w:val="2"/>
          <w:szCs w:val="2"/>
        </w:rPr>
      </w:pPr>
    </w:p>
    <w:sectPr>
      <w:headerReference r:id="rId3" w:type="default"/>
      <w:footerReference r:id="rId4" w:type="default"/>
      <w:pgSz w:w="11906" w:h="16838"/>
      <w:pgMar w:top="2097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609000101010101"/>
    <w:charset w:val="00"/>
    <w:family w:val="auto"/>
    <w:pitch w:val="default"/>
    <w:sig w:usb0="00000000" w:usb1="00000000" w:usb2="00000000" w:usb3="00000000" w:csb0="00000001" w:csb1="00000000"/>
  </w:font>
  <w:font w:name="长城仿宋">
    <w:altName w:val="宋体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E0D9E"/>
    <w:rsid w:val="0DDE0D9E"/>
    <w:rsid w:val="3BF7E08C"/>
    <w:rsid w:val="6EEFB91E"/>
    <w:rsid w:val="77CFA0C9"/>
    <w:rsid w:val="BB6F6FBD"/>
    <w:rsid w:val="BFCD6673"/>
    <w:rsid w:val="CBBF3BA2"/>
    <w:rsid w:val="CFFDD07B"/>
    <w:rsid w:val="F67DE2F4"/>
    <w:rsid w:val="F77760A9"/>
    <w:rsid w:val="FFF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widowControl w:val="0"/>
      <w:spacing w:line="240" w:lineRule="auto"/>
      <w:ind w:firstLine="420"/>
      <w:jc w:val="both"/>
      <w:textAlignment w:val="baseline"/>
    </w:pPr>
    <w:rPr>
      <w:rFonts w:ascii="宋体" w:hAnsi="Calibri" w:eastAsia="宋体" w:cs="Times New Roman"/>
      <w:kern w:val="0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2024-02-26T01:54:00Z</dcterms:created>
  <dc:creator>郑诗婷</dc:creator>
  <cp:lastModifiedBy>郑诗婷</cp:lastModifiedBy>
  <dcterms:modified xsi:type="dcterms:W3CDTF">2024-03-22T15:58:20Z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2ACB35D6352DC7561C3AFD65B7976C44</vt:lpwstr>
  </property>
</Properties>
</file>